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7247A7" w:rsidRPr="007247A7">
        <w:rPr>
          <w:rFonts w:asciiTheme="majorHAnsi" w:hAnsiTheme="majorHAnsi" w:cstheme="majorHAnsi"/>
        </w:rPr>
        <w:t xml:space="preserve">Maria </w:t>
      </w:r>
      <w:proofErr w:type="spellStart"/>
      <w:r w:rsidR="007247A7" w:rsidRPr="007247A7">
        <w:rPr>
          <w:rFonts w:asciiTheme="majorHAnsi" w:hAnsiTheme="majorHAnsi" w:cstheme="majorHAnsi"/>
        </w:rPr>
        <w:t>Mavrova-Guirguinova</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7247A7" w:rsidRPr="007247A7">
        <w:rPr>
          <w:rFonts w:asciiTheme="majorHAnsi" w:hAnsiTheme="majorHAnsi" w:cstheme="majorHAnsi"/>
        </w:rPr>
        <w:t>margir_fhe@abv.bg</w:t>
      </w:r>
    </w:p>
    <w:p w:rsidR="00E610A9" w:rsidRPr="00030B6A" w:rsidRDefault="00E610A9" w:rsidP="00030B6A">
      <w:pPr>
        <w:spacing w:after="120" w:line="240" w:lineRule="auto"/>
        <w:ind w:left="284" w:right="902"/>
        <w:jc w:val="both"/>
        <w:rPr>
          <w:rFonts w:asciiTheme="majorHAnsi" w:hAnsiTheme="majorHAnsi" w:cstheme="majorHAnsi"/>
        </w:rPr>
      </w:pPr>
      <w:r w:rsidRPr="00AF081F">
        <w:rPr>
          <w:rFonts w:ascii="Calibri Light" w:hAnsi="Calibri Light" w:cs="Calibri Light"/>
        </w:rPr>
        <w:t>Institution</w:t>
      </w:r>
      <w:r w:rsidR="00030B6A">
        <w:rPr>
          <w:rFonts w:ascii="Calibri Light" w:hAnsi="Calibri Light" w:cs="Calibri Light"/>
        </w:rPr>
        <w:t xml:space="preserve">: </w:t>
      </w:r>
      <w:r w:rsidR="00030B6A" w:rsidRPr="00030B6A">
        <w:rPr>
          <w:rFonts w:asciiTheme="majorHAnsi" w:hAnsiTheme="majorHAnsi" w:cstheme="majorHAnsi"/>
        </w:rPr>
        <w:t>University of Architecture, Civil Engineering and Geodesy (UACEG) – Sofia, Bulgaria</w:t>
      </w:r>
    </w:p>
    <w:tbl>
      <w:tblPr>
        <w:tblStyle w:val="TableGrid"/>
        <w:tblW w:w="10916" w:type="dxa"/>
        <w:tblInd w:w="-743" w:type="dxa"/>
        <w:tblLook w:val="04A0"/>
      </w:tblPr>
      <w:tblGrid>
        <w:gridCol w:w="3545"/>
        <w:gridCol w:w="7371"/>
      </w:tblGrid>
      <w:tr w:rsidR="00E610A9" w:rsidTr="00E610A9">
        <w:tc>
          <w:tcPr>
            <w:tcW w:w="3545" w:type="dxa"/>
          </w:tcPr>
          <w:p w:rsidR="00E610A9" w:rsidRDefault="00E610A9"/>
        </w:tc>
        <w:tc>
          <w:tcPr>
            <w:tcW w:w="7371" w:type="dxa"/>
          </w:tcPr>
          <w:p w:rsidR="00E610A9" w:rsidRPr="00030B6A" w:rsidRDefault="007247A7" w:rsidP="00AF081F">
            <w:pPr>
              <w:jc w:val="both"/>
              <w:rPr>
                <w:rFonts w:asciiTheme="majorHAnsi" w:hAnsiTheme="majorHAnsi" w:cstheme="majorHAnsi"/>
              </w:rPr>
            </w:pPr>
            <w:r w:rsidRPr="00FF2B88">
              <w:rPr>
                <w:rFonts w:ascii="Calibri Light" w:hAnsi="Calibri Light" w:cs="Calibri Light"/>
                <w:b/>
              </w:rPr>
              <w:t xml:space="preserve">Maria </w:t>
            </w:r>
            <w:proofErr w:type="spellStart"/>
            <w:r w:rsidRPr="00FF2B88">
              <w:rPr>
                <w:rFonts w:ascii="Calibri Light" w:hAnsi="Calibri Light" w:cs="Calibri Light"/>
                <w:b/>
              </w:rPr>
              <w:t>Mavrova-Guirguinova</w:t>
            </w:r>
            <w:proofErr w:type="spellEnd"/>
            <w:r w:rsidRPr="00FF2B88">
              <w:rPr>
                <w:rFonts w:ascii="Calibri Light" w:hAnsi="Calibri Light" w:cs="Calibri Light"/>
              </w:rPr>
              <w:t xml:space="preserve">, PhD, Associate professor at UACEG (Faculty of Hydraulic Engineering), graduated in UACEG as </w:t>
            </w:r>
            <w:proofErr w:type="spellStart"/>
            <w:r w:rsidRPr="00FF2B88">
              <w:rPr>
                <w:rFonts w:ascii="Calibri Light" w:hAnsi="Calibri Light" w:cs="Calibri Light"/>
              </w:rPr>
              <w:t>MSc</w:t>
            </w:r>
            <w:proofErr w:type="spellEnd"/>
            <w:r w:rsidRPr="00FF2B88">
              <w:rPr>
                <w:rFonts w:ascii="Calibri Light" w:hAnsi="Calibri Light" w:cs="Calibri Light"/>
              </w:rPr>
              <w:t xml:space="preserve"> in Civil Engineering on Hydraulic Engineering in 1985. Obtained PhD degree in 1998 at UACEG, habilitated in 2005. She has more than more than 20 years of professional experience in the field of Hydraulic Engineering, especially for Flood Risk Assessment and Prevention and Small Dams Safety. She also has an expertise on climate change impact on water resources. She was involved as team leader in preparation of River Basin Management Plans and Flood Risk Management Plans in accordance with WFD. She participated as team leader or expert in projects funded by of United Nations, European Commission, Bulgarian Ministry of Environment and Water, former Ministry of State Policy for Disasters and Accidents.</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7247A7" w:rsidRPr="007247A7" w:rsidRDefault="007247A7" w:rsidP="007247A7">
            <w:pPr>
              <w:tabs>
                <w:tab w:val="left" w:pos="3649"/>
                <w:tab w:val="left" w:pos="5349"/>
                <w:tab w:val="left" w:pos="7992"/>
                <w:tab w:val="left" w:pos="9409"/>
                <w:tab w:val="left" w:pos="10778"/>
              </w:tabs>
              <w:ind w:left="720" w:hanging="720"/>
              <w:jc w:val="both"/>
              <w:rPr>
                <w:rFonts w:asciiTheme="majorHAnsi" w:hAnsiTheme="majorHAnsi" w:cstheme="majorHAnsi"/>
                <w:szCs w:val="24"/>
              </w:rPr>
            </w:pPr>
            <w:r w:rsidRPr="007247A7">
              <w:rPr>
                <w:rFonts w:asciiTheme="majorHAnsi" w:hAnsiTheme="majorHAnsi" w:cstheme="majorHAnsi"/>
                <w:szCs w:val="24"/>
                <w:lang w:val="bg-BG"/>
              </w:rPr>
              <w:t xml:space="preserve">1. </w:t>
            </w:r>
            <w:r w:rsidRPr="007247A7">
              <w:rPr>
                <w:rFonts w:asciiTheme="majorHAnsi" w:hAnsiTheme="majorHAnsi" w:cstheme="majorHAnsi"/>
                <w:szCs w:val="24"/>
              </w:rPr>
              <w:t xml:space="preserve">“Assessment of the pressures and impacts on surface waters and </w:t>
            </w:r>
            <w:proofErr w:type="spellStart"/>
            <w:r w:rsidRPr="007247A7">
              <w:rPr>
                <w:rFonts w:asciiTheme="majorHAnsi" w:hAnsiTheme="majorHAnsi" w:cstheme="majorHAnsi"/>
                <w:szCs w:val="24"/>
              </w:rPr>
              <w:t>groundwaters</w:t>
            </w:r>
            <w:proofErr w:type="spellEnd"/>
            <w:r w:rsidRPr="007247A7">
              <w:rPr>
                <w:rFonts w:asciiTheme="majorHAnsi" w:hAnsiTheme="majorHAnsi" w:cstheme="majorHAnsi"/>
                <w:szCs w:val="24"/>
              </w:rPr>
              <w:t xml:space="preserve"> from climate changes and assessment of the availability of water for the economic sectors”, 2014-2016;</w:t>
            </w:r>
          </w:p>
          <w:p w:rsidR="007247A7" w:rsidRPr="007247A7" w:rsidRDefault="007247A7" w:rsidP="007247A7">
            <w:pPr>
              <w:tabs>
                <w:tab w:val="left" w:pos="3649"/>
                <w:tab w:val="left" w:pos="5349"/>
                <w:tab w:val="left" w:pos="7992"/>
                <w:tab w:val="left" w:pos="9409"/>
                <w:tab w:val="left" w:pos="10778"/>
              </w:tabs>
              <w:ind w:left="720" w:hanging="720"/>
              <w:jc w:val="both"/>
              <w:rPr>
                <w:rFonts w:asciiTheme="majorHAnsi" w:hAnsiTheme="majorHAnsi" w:cstheme="majorHAnsi"/>
                <w:szCs w:val="24"/>
              </w:rPr>
            </w:pPr>
            <w:r w:rsidRPr="007247A7">
              <w:rPr>
                <w:rFonts w:asciiTheme="majorHAnsi" w:hAnsiTheme="majorHAnsi" w:cstheme="majorHAnsi"/>
                <w:szCs w:val="24"/>
                <w:lang w:val="bg-BG"/>
              </w:rPr>
              <w:t xml:space="preserve">2. </w:t>
            </w:r>
            <w:r w:rsidRPr="007247A7">
              <w:rPr>
                <w:rFonts w:asciiTheme="majorHAnsi" w:hAnsiTheme="majorHAnsi" w:cstheme="majorHAnsi"/>
                <w:szCs w:val="24"/>
              </w:rPr>
              <w:t xml:space="preserve">“Flood Warning System Establishment in </w:t>
            </w:r>
            <w:proofErr w:type="spellStart"/>
            <w:r w:rsidRPr="007247A7">
              <w:rPr>
                <w:rFonts w:asciiTheme="majorHAnsi" w:hAnsiTheme="majorHAnsi" w:cstheme="majorHAnsi"/>
                <w:szCs w:val="24"/>
              </w:rPr>
              <w:t>Arda</w:t>
            </w:r>
            <w:proofErr w:type="spellEnd"/>
            <w:r w:rsidRPr="007247A7">
              <w:rPr>
                <w:rFonts w:asciiTheme="majorHAnsi" w:hAnsiTheme="majorHAnsi" w:cstheme="majorHAnsi"/>
                <w:szCs w:val="24"/>
              </w:rPr>
              <w:t xml:space="preserve"> River Basin For Minimizing the Risk in the Cross Border Area” (ARDAFORECAST), 2013-2014;</w:t>
            </w:r>
          </w:p>
          <w:p w:rsidR="007247A7" w:rsidRPr="007247A7" w:rsidRDefault="007247A7" w:rsidP="007247A7">
            <w:pPr>
              <w:tabs>
                <w:tab w:val="left" w:pos="3649"/>
                <w:tab w:val="left" w:pos="5349"/>
                <w:tab w:val="left" w:pos="7992"/>
                <w:tab w:val="left" w:pos="9409"/>
                <w:tab w:val="left" w:pos="10778"/>
              </w:tabs>
              <w:ind w:left="720" w:hanging="720"/>
              <w:jc w:val="both"/>
              <w:rPr>
                <w:rFonts w:asciiTheme="majorHAnsi" w:hAnsiTheme="majorHAnsi" w:cstheme="majorHAnsi"/>
                <w:szCs w:val="24"/>
              </w:rPr>
            </w:pPr>
            <w:r w:rsidRPr="007247A7">
              <w:rPr>
                <w:rFonts w:asciiTheme="majorHAnsi" w:hAnsiTheme="majorHAnsi" w:cstheme="majorHAnsi"/>
                <w:szCs w:val="24"/>
                <w:lang w:val="bg-BG"/>
              </w:rPr>
              <w:t xml:space="preserve">3. </w:t>
            </w:r>
            <w:r w:rsidRPr="007247A7">
              <w:rPr>
                <w:rFonts w:asciiTheme="majorHAnsi" w:hAnsiTheme="majorHAnsi" w:cstheme="majorHAnsi"/>
                <w:szCs w:val="24"/>
              </w:rPr>
              <w:t>“Analysis and assessment of the risk and vulnerability of the sectors in the Bulgarian economy from climate changes”, 2013;</w:t>
            </w:r>
          </w:p>
          <w:p w:rsidR="007247A7" w:rsidRPr="007247A7" w:rsidRDefault="007247A7" w:rsidP="007247A7">
            <w:pPr>
              <w:tabs>
                <w:tab w:val="left" w:pos="3649"/>
                <w:tab w:val="left" w:pos="5349"/>
                <w:tab w:val="left" w:pos="7992"/>
                <w:tab w:val="left" w:pos="9409"/>
                <w:tab w:val="left" w:pos="10778"/>
              </w:tabs>
              <w:ind w:left="720" w:hanging="720"/>
              <w:jc w:val="both"/>
              <w:rPr>
                <w:rFonts w:asciiTheme="majorHAnsi" w:hAnsiTheme="majorHAnsi" w:cstheme="majorHAnsi"/>
                <w:szCs w:val="24"/>
              </w:rPr>
            </w:pPr>
            <w:r w:rsidRPr="007247A7">
              <w:rPr>
                <w:rFonts w:asciiTheme="majorHAnsi" w:hAnsiTheme="majorHAnsi" w:cstheme="majorHAnsi"/>
                <w:szCs w:val="24"/>
                <w:lang w:val="bg-BG"/>
              </w:rPr>
              <w:t xml:space="preserve">4. </w:t>
            </w:r>
            <w:r w:rsidRPr="007247A7">
              <w:rPr>
                <w:rFonts w:asciiTheme="majorHAnsi" w:hAnsiTheme="majorHAnsi" w:cstheme="majorHAnsi"/>
                <w:szCs w:val="24"/>
              </w:rPr>
              <w:t>“Improving flood prevention and flood hazard awareness trough the development of a standardized approach for small dams risk assessment and management based on European best practices and shared experience” (DAMSAFE), 2011-2013;</w:t>
            </w:r>
          </w:p>
          <w:p w:rsidR="007247A7" w:rsidRPr="007247A7" w:rsidRDefault="007247A7" w:rsidP="007247A7">
            <w:pPr>
              <w:ind w:left="720" w:hanging="720"/>
              <w:jc w:val="both"/>
              <w:rPr>
                <w:rFonts w:asciiTheme="majorHAnsi" w:eastAsia="Calibri" w:hAnsiTheme="majorHAnsi" w:cstheme="majorHAnsi"/>
                <w:szCs w:val="24"/>
                <w:lang w:val="en-GB" w:eastAsia="en-GB"/>
              </w:rPr>
            </w:pPr>
            <w:r w:rsidRPr="007247A7">
              <w:rPr>
                <w:rFonts w:asciiTheme="majorHAnsi" w:eastAsia="Calibri" w:hAnsiTheme="majorHAnsi" w:cstheme="majorHAnsi"/>
                <w:szCs w:val="24"/>
                <w:lang w:val="bg-BG" w:eastAsia="en-GB"/>
              </w:rPr>
              <w:t xml:space="preserve">5. </w:t>
            </w:r>
            <w:proofErr w:type="spellStart"/>
            <w:r w:rsidRPr="007247A7">
              <w:rPr>
                <w:rFonts w:asciiTheme="majorHAnsi" w:eastAsia="Calibri" w:hAnsiTheme="majorHAnsi" w:cstheme="majorHAnsi"/>
                <w:szCs w:val="24"/>
                <w:lang w:val="en-GB" w:eastAsia="en-GB"/>
              </w:rPr>
              <w:t>Blöschl</w:t>
            </w:r>
            <w:proofErr w:type="spellEnd"/>
            <w:r w:rsidRPr="007247A7">
              <w:rPr>
                <w:rFonts w:asciiTheme="majorHAnsi" w:eastAsia="Calibri" w:hAnsiTheme="majorHAnsi" w:cstheme="majorHAnsi"/>
                <w:szCs w:val="24"/>
                <w:lang w:val="en-GB" w:eastAsia="en-GB"/>
              </w:rPr>
              <w:t>, G., Hall, J</w:t>
            </w:r>
            <w:proofErr w:type="gramStart"/>
            <w:r w:rsidRPr="007247A7">
              <w:rPr>
                <w:rFonts w:asciiTheme="majorHAnsi" w:eastAsia="Calibri" w:hAnsiTheme="majorHAnsi" w:cstheme="majorHAnsi"/>
                <w:szCs w:val="24"/>
                <w:lang w:val="en-GB" w:eastAsia="en-GB"/>
              </w:rPr>
              <w:t>., ...</w:t>
            </w:r>
            <w:proofErr w:type="gram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b/>
                <w:szCs w:val="24"/>
                <w:lang w:val="en-GB" w:eastAsia="en-GB"/>
              </w:rPr>
              <w:t>Mavrova-Guirguinova</w:t>
            </w:r>
            <w:proofErr w:type="spellEnd"/>
            <w:r w:rsidRPr="007247A7">
              <w:rPr>
                <w:rFonts w:asciiTheme="majorHAnsi" w:eastAsia="Calibri" w:hAnsiTheme="majorHAnsi" w:cstheme="majorHAnsi"/>
                <w:b/>
                <w:szCs w:val="24"/>
                <w:lang w:val="en-GB" w:eastAsia="en-GB"/>
              </w:rPr>
              <w:t xml:space="preserve"> M.</w:t>
            </w:r>
            <w:r w:rsidRPr="007247A7">
              <w:rPr>
                <w:rFonts w:asciiTheme="majorHAnsi" w:eastAsia="Calibri" w:hAnsiTheme="majorHAnsi" w:cstheme="majorHAnsi"/>
                <w:szCs w:val="24"/>
                <w:lang w:val="en-GB" w:eastAsia="en-GB"/>
              </w:rPr>
              <w:t xml:space="preserve"> et al., 2017. Changing climate shifts timing of European floods. Science </w:t>
            </w:r>
            <w:proofErr w:type="gramStart"/>
            <w:r w:rsidRPr="007247A7">
              <w:rPr>
                <w:rFonts w:asciiTheme="majorHAnsi" w:eastAsia="Calibri" w:hAnsiTheme="majorHAnsi" w:cstheme="majorHAnsi"/>
                <w:szCs w:val="24"/>
                <w:lang w:val="en-GB" w:eastAsia="en-GB"/>
              </w:rPr>
              <w:t>357  (</w:t>
            </w:r>
            <w:proofErr w:type="gramEnd"/>
            <w:r w:rsidRPr="007247A7">
              <w:rPr>
                <w:rFonts w:asciiTheme="majorHAnsi" w:eastAsia="Calibri" w:hAnsiTheme="majorHAnsi" w:cstheme="majorHAnsi"/>
                <w:szCs w:val="24"/>
                <w:lang w:val="en-GB" w:eastAsia="en-GB"/>
              </w:rPr>
              <w:t>6351), p. 588-590.</w:t>
            </w:r>
          </w:p>
          <w:p w:rsidR="007247A7" w:rsidRPr="007247A7" w:rsidRDefault="007247A7" w:rsidP="007247A7">
            <w:pPr>
              <w:ind w:left="720" w:hanging="720"/>
              <w:jc w:val="both"/>
              <w:rPr>
                <w:rFonts w:asciiTheme="majorHAnsi" w:eastAsia="Calibri" w:hAnsiTheme="majorHAnsi" w:cstheme="majorHAnsi"/>
                <w:szCs w:val="24"/>
                <w:lang w:val="en-GB" w:eastAsia="en-GB"/>
              </w:rPr>
            </w:pPr>
            <w:r w:rsidRPr="007247A7">
              <w:rPr>
                <w:rFonts w:asciiTheme="majorHAnsi" w:eastAsia="Calibri" w:hAnsiTheme="majorHAnsi" w:cstheme="majorHAnsi"/>
                <w:szCs w:val="24"/>
                <w:lang w:val="bg-BG" w:eastAsia="en-GB"/>
              </w:rPr>
              <w:t xml:space="preserve">6. </w:t>
            </w:r>
            <w:r w:rsidRPr="007247A7">
              <w:rPr>
                <w:rFonts w:asciiTheme="majorHAnsi" w:eastAsia="Calibri" w:hAnsiTheme="majorHAnsi" w:cstheme="majorHAnsi"/>
                <w:szCs w:val="24"/>
                <w:lang w:val="en-GB" w:eastAsia="en-GB"/>
              </w:rPr>
              <w:t xml:space="preserve">J. Hall, B. </w:t>
            </w:r>
            <w:proofErr w:type="spellStart"/>
            <w:r w:rsidRPr="007247A7">
              <w:rPr>
                <w:rFonts w:asciiTheme="majorHAnsi" w:eastAsia="Calibri" w:hAnsiTheme="majorHAnsi" w:cstheme="majorHAnsi"/>
                <w:szCs w:val="24"/>
                <w:lang w:val="en-GB" w:eastAsia="en-GB"/>
              </w:rPr>
              <w:t>Arheimer</w:t>
            </w:r>
            <w:proofErr w:type="spellEnd"/>
            <w:proofErr w:type="gramStart"/>
            <w:r w:rsidRPr="007247A7">
              <w:rPr>
                <w:rFonts w:asciiTheme="majorHAnsi" w:eastAsia="Calibri" w:hAnsiTheme="majorHAnsi" w:cstheme="majorHAnsi"/>
                <w:szCs w:val="24"/>
                <w:lang w:val="en-GB" w:eastAsia="en-GB"/>
              </w:rPr>
              <w:t>, …,</w:t>
            </w:r>
            <w:proofErr w:type="gramEnd"/>
            <w:r w:rsidRPr="007247A7">
              <w:rPr>
                <w:rFonts w:asciiTheme="majorHAnsi" w:eastAsia="Calibri" w:hAnsiTheme="majorHAnsi" w:cstheme="majorHAnsi"/>
                <w:szCs w:val="24"/>
                <w:lang w:val="en-GB" w:eastAsia="en-GB"/>
              </w:rPr>
              <w:t xml:space="preserve"> </w:t>
            </w:r>
            <w:r w:rsidRPr="007247A7">
              <w:rPr>
                <w:rFonts w:asciiTheme="majorHAnsi" w:eastAsia="Calibri" w:hAnsiTheme="majorHAnsi" w:cstheme="majorHAnsi"/>
                <w:b/>
                <w:szCs w:val="24"/>
                <w:lang w:val="en-GB" w:eastAsia="en-GB"/>
              </w:rPr>
              <w:t xml:space="preserve">M. </w:t>
            </w:r>
            <w:proofErr w:type="spellStart"/>
            <w:r w:rsidRPr="007247A7">
              <w:rPr>
                <w:rFonts w:asciiTheme="majorHAnsi" w:eastAsia="Calibri" w:hAnsiTheme="majorHAnsi" w:cstheme="majorHAnsi"/>
                <w:b/>
                <w:szCs w:val="24"/>
                <w:lang w:val="en-GB" w:eastAsia="en-GB"/>
              </w:rPr>
              <w:t>Mavrova-Guirguinova</w:t>
            </w:r>
            <w:proofErr w:type="spellEnd"/>
            <w:r w:rsidRPr="007247A7">
              <w:rPr>
                <w:rFonts w:asciiTheme="majorHAnsi" w:eastAsia="Calibri" w:hAnsiTheme="majorHAnsi" w:cstheme="majorHAnsi"/>
                <w:szCs w:val="24"/>
                <w:lang w:val="en-GB" w:eastAsia="en-GB"/>
              </w:rPr>
              <w:t xml:space="preserve"> et al., 2015. A European flood database: facilitating comprehensive flood research beyond administrative boundaries, Proceedings IAHS, 370, p. 89-95, https://doi.org/10.5194/piahs-370-89-2015.</w:t>
            </w:r>
          </w:p>
          <w:p w:rsidR="00E610A9" w:rsidRDefault="007247A7" w:rsidP="007247A7">
            <w:pPr>
              <w:ind w:left="720" w:hanging="720"/>
              <w:jc w:val="both"/>
            </w:pPr>
            <w:r w:rsidRPr="007247A7">
              <w:rPr>
                <w:rFonts w:asciiTheme="majorHAnsi" w:eastAsia="Calibri" w:hAnsiTheme="majorHAnsi" w:cstheme="majorHAnsi"/>
                <w:szCs w:val="24"/>
                <w:lang w:val="bg-BG" w:eastAsia="en-GB"/>
              </w:rPr>
              <w:t xml:space="preserve">7. </w:t>
            </w:r>
            <w:proofErr w:type="spellStart"/>
            <w:r w:rsidRPr="007247A7">
              <w:rPr>
                <w:rFonts w:asciiTheme="majorHAnsi" w:eastAsia="Calibri" w:hAnsiTheme="majorHAnsi" w:cstheme="majorHAnsi"/>
                <w:szCs w:val="24"/>
                <w:lang w:val="en-GB" w:eastAsia="en-GB"/>
              </w:rPr>
              <w:t>Kirilov</w:t>
            </w:r>
            <w:proofErr w:type="spellEnd"/>
            <w:r w:rsidRPr="007247A7">
              <w:rPr>
                <w:rFonts w:asciiTheme="majorHAnsi" w:eastAsia="Calibri" w:hAnsiTheme="majorHAnsi" w:cstheme="majorHAnsi"/>
                <w:szCs w:val="24"/>
                <w:lang w:val="en-GB" w:eastAsia="en-GB"/>
              </w:rPr>
              <w:t xml:space="preserve">, H., </w:t>
            </w:r>
            <w:proofErr w:type="spellStart"/>
            <w:r w:rsidRPr="007247A7">
              <w:rPr>
                <w:rFonts w:asciiTheme="majorHAnsi" w:eastAsia="Calibri" w:hAnsiTheme="majorHAnsi" w:cstheme="majorHAnsi"/>
                <w:szCs w:val="24"/>
                <w:lang w:val="en-GB" w:eastAsia="en-GB"/>
              </w:rPr>
              <w:t>Pencheva</w:t>
            </w:r>
            <w:proofErr w:type="spell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szCs w:val="24"/>
                <w:lang w:val="en-GB" w:eastAsia="en-GB"/>
              </w:rPr>
              <w:t>Kotseva</w:t>
            </w:r>
            <w:proofErr w:type="spell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szCs w:val="24"/>
                <w:lang w:val="en-GB" w:eastAsia="en-GB"/>
              </w:rPr>
              <w:t>Gabrovki</w:t>
            </w:r>
            <w:proofErr w:type="spell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szCs w:val="24"/>
                <w:lang w:val="en-GB" w:eastAsia="en-GB"/>
              </w:rPr>
              <w:t>Slavov</w:t>
            </w:r>
            <w:proofErr w:type="spell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szCs w:val="24"/>
                <w:lang w:val="en-GB" w:eastAsia="en-GB"/>
              </w:rPr>
              <w:t>Georgieva</w:t>
            </w:r>
            <w:proofErr w:type="spell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szCs w:val="24"/>
                <w:lang w:val="en-GB" w:eastAsia="en-GB"/>
              </w:rPr>
              <w:t>Zaharieva</w:t>
            </w:r>
            <w:proofErr w:type="spell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szCs w:val="24"/>
                <w:lang w:val="en-GB" w:eastAsia="en-GB"/>
              </w:rPr>
              <w:t>Ninov</w:t>
            </w:r>
            <w:proofErr w:type="spellEnd"/>
            <w:r w:rsidRPr="007247A7">
              <w:rPr>
                <w:rFonts w:asciiTheme="majorHAnsi" w:eastAsia="Calibri" w:hAnsiTheme="majorHAnsi" w:cstheme="majorHAnsi"/>
                <w:szCs w:val="24"/>
                <w:lang w:val="en-GB" w:eastAsia="en-GB"/>
              </w:rPr>
              <w:t xml:space="preserve">, </w:t>
            </w:r>
            <w:proofErr w:type="spellStart"/>
            <w:r w:rsidRPr="007247A7">
              <w:rPr>
                <w:rFonts w:asciiTheme="majorHAnsi" w:eastAsia="Calibri" w:hAnsiTheme="majorHAnsi" w:cstheme="majorHAnsi"/>
                <w:b/>
                <w:szCs w:val="24"/>
                <w:lang w:val="en-GB" w:eastAsia="en-GB"/>
              </w:rPr>
              <w:t>Mavrova-Guirguinova</w:t>
            </w:r>
            <w:proofErr w:type="spellEnd"/>
            <w:r w:rsidRPr="007247A7">
              <w:rPr>
                <w:rFonts w:asciiTheme="majorHAnsi" w:eastAsia="Calibri" w:hAnsiTheme="majorHAnsi" w:cstheme="majorHAnsi"/>
                <w:b/>
                <w:szCs w:val="24"/>
                <w:lang w:val="en-GB" w:eastAsia="en-GB"/>
              </w:rPr>
              <w:t>,</w:t>
            </w:r>
            <w:r w:rsidRPr="007247A7">
              <w:rPr>
                <w:rFonts w:asciiTheme="majorHAnsi" w:eastAsia="Calibri" w:hAnsiTheme="majorHAnsi" w:cstheme="majorHAnsi"/>
                <w:szCs w:val="24"/>
                <w:lang w:val="en-GB" w:eastAsia="en-GB"/>
              </w:rPr>
              <w:t xml:space="preserve"> et al., 2013.</w:t>
            </w:r>
            <w:r w:rsidRPr="007247A7">
              <w:rPr>
                <w:rFonts w:asciiTheme="majorHAnsi" w:eastAsia="Calibri" w:hAnsiTheme="majorHAnsi" w:cstheme="majorHAnsi"/>
                <w:b/>
                <w:szCs w:val="24"/>
                <w:lang w:val="en-GB" w:eastAsia="en-GB"/>
              </w:rPr>
              <w:t xml:space="preserve"> </w:t>
            </w:r>
            <w:r w:rsidRPr="007247A7">
              <w:rPr>
                <w:rFonts w:asciiTheme="majorHAnsi" w:eastAsia="Calibri" w:hAnsiTheme="majorHAnsi" w:cstheme="majorHAnsi"/>
                <w:szCs w:val="24"/>
                <w:lang w:val="en-GB" w:eastAsia="en-GB"/>
              </w:rPr>
              <w:t>Manual for small dams’ flood risk assessment and management, Sofia.</w:t>
            </w:r>
          </w:p>
        </w:tc>
      </w:tr>
    </w:tbl>
    <w:p w:rsidR="008408D9" w:rsidRDefault="004220DD">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A9" w:rsidRDefault="00A677A9" w:rsidP="00DE55A3">
      <w:pPr>
        <w:spacing w:after="0" w:line="240" w:lineRule="auto"/>
      </w:pPr>
      <w:r>
        <w:separator/>
      </w:r>
    </w:p>
  </w:endnote>
  <w:endnote w:type="continuationSeparator" w:id="0">
    <w:p w:rsidR="00A677A9" w:rsidRDefault="00A677A9"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4220D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4220D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A9" w:rsidRDefault="00A677A9" w:rsidP="00DE55A3">
      <w:pPr>
        <w:spacing w:after="0" w:line="240" w:lineRule="auto"/>
      </w:pPr>
      <w:r>
        <w:separator/>
      </w:r>
    </w:p>
  </w:footnote>
  <w:footnote w:type="continuationSeparator" w:id="0">
    <w:p w:rsidR="00A677A9" w:rsidRDefault="00A677A9"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4220D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0B6A"/>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3E58A6"/>
    <w:rsid w:val="004030AA"/>
    <w:rsid w:val="00421D16"/>
    <w:rsid w:val="004220DD"/>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247A7"/>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54C17"/>
    <w:rsid w:val="00A677A9"/>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styleId="CommentReference">
    <w:name w:val="annotation reference"/>
    <w:basedOn w:val="DefaultParagraphFont"/>
    <w:uiPriority w:val="99"/>
    <w:semiHidden/>
    <w:unhideWhenUsed/>
    <w:rsid w:val="007247A7"/>
    <w:rPr>
      <w:sz w:val="16"/>
      <w:szCs w:val="16"/>
    </w:rPr>
  </w:style>
  <w:style w:type="paragraph" w:styleId="CommentText">
    <w:name w:val="annotation text"/>
    <w:basedOn w:val="Normal"/>
    <w:link w:val="CommentTextChar"/>
    <w:uiPriority w:val="99"/>
    <w:semiHidden/>
    <w:unhideWhenUsed/>
    <w:rsid w:val="007247A7"/>
    <w:pPr>
      <w:spacing w:after="0" w:line="240" w:lineRule="auto"/>
    </w:pPr>
    <w:rPr>
      <w:rFonts w:ascii="Book Antiqua" w:hAnsi="Book Antiqua"/>
      <w:sz w:val="20"/>
      <w:szCs w:val="20"/>
      <w:lang w:val="bs-Latn-BA"/>
    </w:rPr>
  </w:style>
  <w:style w:type="character" w:customStyle="1" w:styleId="CommentTextChar">
    <w:name w:val="Comment Text Char"/>
    <w:basedOn w:val="DefaultParagraphFont"/>
    <w:link w:val="CommentText"/>
    <w:uiPriority w:val="99"/>
    <w:semiHidden/>
    <w:rsid w:val="007247A7"/>
    <w:rPr>
      <w:rFonts w:ascii="Book Antiqua" w:hAnsi="Book Antiqua"/>
      <w:sz w:val="20"/>
      <w:szCs w:val="20"/>
      <w:lang w:val="bs-Latn-BA"/>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2018-12-16T16:20:00Z</dcterms:modified>
</cp:coreProperties>
</file>